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47526" w14:textId="70C56E80" w:rsidR="00D82A0F" w:rsidRDefault="001010C9" w:rsidP="001010C9">
      <w:pPr>
        <w:pStyle w:val="Heading2"/>
        <w:jc w:val="left"/>
        <w:rPr>
          <w:rFonts w:ascii="Gotham" w:hAnsi="Gotham"/>
          <w:color w:val="1B365D"/>
          <w:sz w:val="20"/>
          <w:szCs w:val="20"/>
        </w:rPr>
      </w:pPr>
      <w:bookmarkStart w:id="0" w:name="_Toc531272169"/>
      <w:r>
        <w:rPr>
          <w:rFonts w:ascii="Gotham" w:hAnsi="Gotham"/>
          <w:noProof/>
          <w:color w:val="1B365D"/>
          <w:sz w:val="20"/>
          <w:szCs w:val="20"/>
        </w:rPr>
        <w:drawing>
          <wp:anchor distT="0" distB="0" distL="114300" distR="114300" simplePos="0" relativeHeight="251659264" behindDoc="1" locked="0" layoutInCell="1" allowOverlap="1" wp14:anchorId="612D29CC" wp14:editId="41184A9A">
            <wp:simplePos x="0" y="0"/>
            <wp:positionH relativeFrom="page">
              <wp:align>right</wp:align>
            </wp:positionH>
            <wp:positionV relativeFrom="page">
              <wp:align>top</wp:align>
            </wp:positionV>
            <wp:extent cx="7553325" cy="10683947"/>
            <wp:effectExtent l="0" t="0" r="0" b="3175"/>
            <wp:wrapNone/>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3325" cy="10683947"/>
                    </a:xfrm>
                    <a:prstGeom prst="rect">
                      <a:avLst/>
                    </a:prstGeom>
                  </pic:spPr>
                </pic:pic>
              </a:graphicData>
            </a:graphic>
            <wp14:sizeRelH relativeFrom="margin">
              <wp14:pctWidth>0</wp14:pctWidth>
            </wp14:sizeRelH>
            <wp14:sizeRelV relativeFrom="margin">
              <wp14:pctHeight>0</wp14:pctHeight>
            </wp14:sizeRelV>
          </wp:anchor>
        </w:drawing>
      </w:r>
    </w:p>
    <w:p w14:paraId="2741DC4F" w14:textId="77777777" w:rsidR="00D82A0F" w:rsidRDefault="00D82A0F" w:rsidP="001010C9">
      <w:pPr>
        <w:pStyle w:val="Heading2"/>
        <w:jc w:val="left"/>
        <w:rPr>
          <w:rFonts w:ascii="Gotham" w:hAnsi="Gotham"/>
          <w:color w:val="1B365D"/>
          <w:sz w:val="20"/>
          <w:szCs w:val="20"/>
        </w:rPr>
      </w:pPr>
    </w:p>
    <w:p w14:paraId="31BA5E8F" w14:textId="77777777" w:rsidR="00D82A0F" w:rsidRDefault="00D82A0F" w:rsidP="001010C9">
      <w:pPr>
        <w:pStyle w:val="Heading2"/>
        <w:jc w:val="left"/>
        <w:rPr>
          <w:rFonts w:ascii="Gotham" w:hAnsi="Gotham"/>
          <w:color w:val="1B365D"/>
          <w:sz w:val="20"/>
          <w:szCs w:val="20"/>
        </w:rPr>
      </w:pPr>
    </w:p>
    <w:p w14:paraId="4F61ACE5" w14:textId="77777777" w:rsidR="00D82A0F" w:rsidRDefault="00D82A0F" w:rsidP="001010C9">
      <w:pPr>
        <w:pStyle w:val="Heading2"/>
        <w:jc w:val="left"/>
        <w:rPr>
          <w:rFonts w:ascii="Gotham" w:hAnsi="Gotham"/>
          <w:color w:val="1B365D"/>
          <w:sz w:val="20"/>
          <w:szCs w:val="20"/>
        </w:rPr>
      </w:pPr>
    </w:p>
    <w:p w14:paraId="3EEB5354" w14:textId="77777777" w:rsidR="00D82A0F" w:rsidRDefault="00D82A0F" w:rsidP="001010C9">
      <w:pPr>
        <w:pStyle w:val="Heading2"/>
        <w:jc w:val="left"/>
        <w:rPr>
          <w:rFonts w:ascii="Gotham" w:hAnsi="Gotham"/>
          <w:color w:val="1B365D"/>
          <w:sz w:val="20"/>
          <w:szCs w:val="20"/>
        </w:rPr>
      </w:pPr>
    </w:p>
    <w:p w14:paraId="4A9E88BF" w14:textId="77777777" w:rsidR="00D82A0F" w:rsidRDefault="00D82A0F" w:rsidP="001010C9">
      <w:pPr>
        <w:pStyle w:val="Heading2"/>
        <w:jc w:val="left"/>
        <w:rPr>
          <w:rFonts w:ascii="Gotham" w:hAnsi="Gotham"/>
          <w:color w:val="1B365D"/>
          <w:sz w:val="20"/>
          <w:szCs w:val="20"/>
        </w:rPr>
      </w:pPr>
    </w:p>
    <w:p w14:paraId="3B113354" w14:textId="77777777" w:rsidR="00D82A0F" w:rsidRDefault="00D82A0F" w:rsidP="001010C9">
      <w:pPr>
        <w:pStyle w:val="Heading2"/>
        <w:jc w:val="left"/>
        <w:rPr>
          <w:rFonts w:ascii="Gotham" w:hAnsi="Gotham"/>
          <w:color w:val="1B365D"/>
          <w:sz w:val="20"/>
          <w:szCs w:val="20"/>
        </w:rPr>
      </w:pPr>
    </w:p>
    <w:p w14:paraId="58430533" w14:textId="77777777" w:rsidR="00D82A0F" w:rsidRDefault="00D82A0F" w:rsidP="001010C9">
      <w:pPr>
        <w:pStyle w:val="Heading2"/>
        <w:jc w:val="left"/>
        <w:rPr>
          <w:rFonts w:ascii="Gotham" w:hAnsi="Gotham"/>
          <w:color w:val="1B365D"/>
          <w:sz w:val="20"/>
          <w:szCs w:val="20"/>
        </w:rPr>
      </w:pPr>
    </w:p>
    <w:p w14:paraId="7D8826B7" w14:textId="77777777" w:rsidR="00D82A0F" w:rsidRDefault="00D82A0F" w:rsidP="001010C9">
      <w:pPr>
        <w:pStyle w:val="Heading2"/>
        <w:jc w:val="left"/>
        <w:rPr>
          <w:rFonts w:ascii="Gotham" w:hAnsi="Gotham"/>
          <w:color w:val="1B365D"/>
          <w:sz w:val="20"/>
          <w:szCs w:val="20"/>
        </w:rPr>
      </w:pPr>
    </w:p>
    <w:p w14:paraId="661465DB" w14:textId="77777777" w:rsidR="00D82A0F" w:rsidRDefault="00D82A0F" w:rsidP="001010C9">
      <w:pPr>
        <w:pStyle w:val="Heading2"/>
        <w:jc w:val="left"/>
        <w:rPr>
          <w:rFonts w:ascii="Gotham" w:hAnsi="Gotham"/>
          <w:color w:val="1B365D"/>
          <w:sz w:val="20"/>
          <w:szCs w:val="20"/>
        </w:rPr>
      </w:pPr>
    </w:p>
    <w:p w14:paraId="532AB565" w14:textId="77777777" w:rsidR="00D82A0F" w:rsidRDefault="00D82A0F" w:rsidP="001010C9">
      <w:pPr>
        <w:pStyle w:val="Heading2"/>
        <w:jc w:val="left"/>
        <w:rPr>
          <w:rFonts w:ascii="Gotham" w:hAnsi="Gotham"/>
          <w:color w:val="1B365D"/>
          <w:sz w:val="20"/>
          <w:szCs w:val="20"/>
        </w:rPr>
      </w:pPr>
    </w:p>
    <w:p w14:paraId="7E46B4C2" w14:textId="77777777" w:rsidR="00D82A0F" w:rsidRDefault="00D82A0F" w:rsidP="001010C9">
      <w:pPr>
        <w:pStyle w:val="Heading2"/>
        <w:jc w:val="left"/>
        <w:rPr>
          <w:rFonts w:ascii="Gotham" w:hAnsi="Gotham"/>
          <w:color w:val="1B365D"/>
          <w:sz w:val="20"/>
          <w:szCs w:val="20"/>
        </w:rPr>
      </w:pPr>
    </w:p>
    <w:p w14:paraId="5E6B6CF9" w14:textId="77777777" w:rsidR="00D82A0F" w:rsidRDefault="00D82A0F" w:rsidP="001010C9">
      <w:pPr>
        <w:pStyle w:val="Heading2"/>
        <w:jc w:val="left"/>
        <w:rPr>
          <w:rFonts w:ascii="Gotham" w:hAnsi="Gotham"/>
          <w:color w:val="1B365D"/>
          <w:sz w:val="20"/>
          <w:szCs w:val="20"/>
        </w:rPr>
      </w:pPr>
    </w:p>
    <w:p w14:paraId="731D093A" w14:textId="77777777" w:rsidR="00D82A0F" w:rsidRDefault="00D82A0F" w:rsidP="001010C9">
      <w:pPr>
        <w:pStyle w:val="Heading2"/>
        <w:jc w:val="left"/>
        <w:rPr>
          <w:rFonts w:ascii="Gotham" w:hAnsi="Gotham"/>
          <w:color w:val="1B365D"/>
          <w:sz w:val="20"/>
          <w:szCs w:val="20"/>
        </w:rPr>
      </w:pPr>
    </w:p>
    <w:p w14:paraId="324831D5" w14:textId="77777777" w:rsidR="00D82A0F" w:rsidRDefault="00D82A0F" w:rsidP="001010C9">
      <w:pPr>
        <w:pStyle w:val="Heading2"/>
        <w:jc w:val="left"/>
        <w:rPr>
          <w:rFonts w:ascii="Gotham" w:hAnsi="Gotham"/>
          <w:color w:val="1B365D"/>
          <w:sz w:val="20"/>
          <w:szCs w:val="20"/>
        </w:rPr>
      </w:pPr>
    </w:p>
    <w:p w14:paraId="75A8DD8E" w14:textId="77777777" w:rsidR="00D82A0F" w:rsidRDefault="00D82A0F" w:rsidP="001010C9">
      <w:pPr>
        <w:pStyle w:val="Heading2"/>
        <w:jc w:val="left"/>
        <w:rPr>
          <w:rFonts w:ascii="Gotham" w:hAnsi="Gotham"/>
          <w:color w:val="1B365D"/>
          <w:sz w:val="20"/>
          <w:szCs w:val="20"/>
        </w:rPr>
      </w:pPr>
    </w:p>
    <w:p w14:paraId="7C99CA8B" w14:textId="77777777" w:rsidR="00D82A0F" w:rsidRDefault="00D82A0F" w:rsidP="001010C9">
      <w:pPr>
        <w:pStyle w:val="Heading2"/>
        <w:jc w:val="left"/>
        <w:rPr>
          <w:rFonts w:ascii="Gotham" w:hAnsi="Gotham"/>
          <w:color w:val="1B365D"/>
          <w:sz w:val="20"/>
          <w:szCs w:val="20"/>
        </w:rPr>
      </w:pPr>
    </w:p>
    <w:p w14:paraId="10276A39" w14:textId="77777777" w:rsidR="00D82A0F" w:rsidRDefault="00D82A0F" w:rsidP="001010C9">
      <w:pPr>
        <w:pStyle w:val="Heading2"/>
        <w:jc w:val="left"/>
        <w:rPr>
          <w:rFonts w:ascii="Gotham" w:hAnsi="Gotham"/>
          <w:color w:val="1B365D"/>
          <w:sz w:val="20"/>
          <w:szCs w:val="20"/>
        </w:rPr>
      </w:pPr>
    </w:p>
    <w:p w14:paraId="79EE1D51" w14:textId="77777777" w:rsidR="00D82A0F" w:rsidRDefault="00D82A0F" w:rsidP="001010C9">
      <w:pPr>
        <w:pStyle w:val="Heading2"/>
        <w:jc w:val="left"/>
        <w:rPr>
          <w:rFonts w:ascii="Gotham" w:hAnsi="Gotham"/>
          <w:color w:val="1B365D"/>
          <w:sz w:val="20"/>
          <w:szCs w:val="20"/>
        </w:rPr>
      </w:pPr>
    </w:p>
    <w:p w14:paraId="582CD5CA" w14:textId="77777777" w:rsidR="00D82A0F" w:rsidRDefault="00D82A0F" w:rsidP="001010C9">
      <w:pPr>
        <w:pStyle w:val="Heading2"/>
        <w:jc w:val="left"/>
        <w:rPr>
          <w:rFonts w:ascii="Gotham" w:hAnsi="Gotham"/>
          <w:color w:val="1B365D"/>
          <w:sz w:val="20"/>
          <w:szCs w:val="20"/>
        </w:rPr>
      </w:pPr>
    </w:p>
    <w:p w14:paraId="21ADE6C9" w14:textId="77777777" w:rsidR="00D82A0F" w:rsidRDefault="00D82A0F" w:rsidP="001010C9">
      <w:pPr>
        <w:pStyle w:val="Heading2"/>
        <w:jc w:val="left"/>
        <w:rPr>
          <w:rFonts w:ascii="Gotham" w:hAnsi="Gotham"/>
          <w:color w:val="1B365D"/>
          <w:sz w:val="20"/>
          <w:szCs w:val="20"/>
        </w:rPr>
      </w:pPr>
    </w:p>
    <w:p w14:paraId="43799693" w14:textId="77777777" w:rsidR="00D82A0F" w:rsidRDefault="00D82A0F" w:rsidP="001010C9">
      <w:pPr>
        <w:pStyle w:val="Heading2"/>
        <w:jc w:val="left"/>
        <w:rPr>
          <w:rFonts w:ascii="Gotham" w:hAnsi="Gotham"/>
          <w:color w:val="1B365D"/>
          <w:sz w:val="20"/>
          <w:szCs w:val="20"/>
        </w:rPr>
      </w:pPr>
    </w:p>
    <w:p w14:paraId="4E1A2B26" w14:textId="77777777" w:rsidR="00D82A0F" w:rsidRDefault="00D82A0F" w:rsidP="001010C9">
      <w:pPr>
        <w:pStyle w:val="Heading2"/>
        <w:jc w:val="left"/>
        <w:rPr>
          <w:rFonts w:ascii="Gotham" w:hAnsi="Gotham"/>
          <w:color w:val="1B365D"/>
          <w:sz w:val="20"/>
          <w:szCs w:val="20"/>
        </w:rPr>
      </w:pPr>
    </w:p>
    <w:p w14:paraId="6CC0173D" w14:textId="77777777" w:rsidR="00D82A0F" w:rsidRDefault="00D82A0F" w:rsidP="001010C9">
      <w:pPr>
        <w:pStyle w:val="Heading2"/>
        <w:jc w:val="left"/>
        <w:rPr>
          <w:rFonts w:ascii="Gotham" w:hAnsi="Gotham"/>
          <w:color w:val="1B365D"/>
          <w:sz w:val="20"/>
          <w:szCs w:val="20"/>
        </w:rPr>
      </w:pPr>
    </w:p>
    <w:p w14:paraId="14DE2C0E" w14:textId="77777777" w:rsidR="00D82A0F" w:rsidRDefault="00D82A0F" w:rsidP="001010C9">
      <w:pPr>
        <w:pStyle w:val="Heading2"/>
        <w:jc w:val="left"/>
        <w:rPr>
          <w:rFonts w:ascii="Gotham" w:hAnsi="Gotham"/>
          <w:color w:val="1B365D"/>
          <w:sz w:val="20"/>
          <w:szCs w:val="20"/>
        </w:rPr>
      </w:pPr>
    </w:p>
    <w:p w14:paraId="5F60A65A" w14:textId="77777777" w:rsidR="00D82A0F" w:rsidRDefault="00D82A0F" w:rsidP="001010C9">
      <w:pPr>
        <w:pStyle w:val="Heading2"/>
        <w:jc w:val="left"/>
        <w:rPr>
          <w:rFonts w:ascii="Gotham" w:hAnsi="Gotham"/>
          <w:color w:val="1B365D"/>
          <w:sz w:val="20"/>
          <w:szCs w:val="20"/>
        </w:rPr>
      </w:pPr>
    </w:p>
    <w:p w14:paraId="77A4225F" w14:textId="77777777" w:rsidR="00D82A0F" w:rsidRDefault="00D82A0F" w:rsidP="001010C9">
      <w:pPr>
        <w:pStyle w:val="Heading2"/>
        <w:jc w:val="left"/>
        <w:rPr>
          <w:rFonts w:ascii="Gotham" w:hAnsi="Gotham"/>
          <w:color w:val="1B365D"/>
          <w:sz w:val="20"/>
          <w:szCs w:val="20"/>
        </w:rPr>
      </w:pPr>
    </w:p>
    <w:p w14:paraId="7B2CCDF2" w14:textId="77777777" w:rsidR="00D82A0F" w:rsidRDefault="00D82A0F" w:rsidP="001010C9">
      <w:pPr>
        <w:pStyle w:val="Heading2"/>
        <w:jc w:val="left"/>
        <w:rPr>
          <w:rFonts w:ascii="Gotham" w:hAnsi="Gotham"/>
          <w:color w:val="1B365D"/>
          <w:sz w:val="20"/>
          <w:szCs w:val="20"/>
        </w:rPr>
      </w:pPr>
    </w:p>
    <w:p w14:paraId="054D9F6A" w14:textId="77777777" w:rsidR="00D82A0F" w:rsidRDefault="00D82A0F" w:rsidP="001010C9">
      <w:pPr>
        <w:pStyle w:val="Heading2"/>
        <w:jc w:val="left"/>
        <w:rPr>
          <w:rFonts w:ascii="Gotham" w:hAnsi="Gotham"/>
          <w:color w:val="1B365D"/>
          <w:sz w:val="20"/>
          <w:szCs w:val="20"/>
        </w:rPr>
      </w:pPr>
    </w:p>
    <w:p w14:paraId="495E575E" w14:textId="77777777" w:rsidR="00D82A0F" w:rsidRDefault="00D82A0F" w:rsidP="001010C9">
      <w:pPr>
        <w:pStyle w:val="Heading2"/>
        <w:jc w:val="left"/>
        <w:rPr>
          <w:rFonts w:ascii="Gotham" w:hAnsi="Gotham"/>
          <w:color w:val="1B365D"/>
          <w:sz w:val="20"/>
          <w:szCs w:val="20"/>
        </w:rPr>
      </w:pPr>
    </w:p>
    <w:p w14:paraId="1BA2DE14" w14:textId="77777777" w:rsidR="00D82A0F" w:rsidRDefault="00D82A0F" w:rsidP="001010C9">
      <w:pPr>
        <w:pStyle w:val="Heading2"/>
        <w:jc w:val="left"/>
        <w:rPr>
          <w:rFonts w:ascii="Gotham" w:hAnsi="Gotham"/>
          <w:color w:val="1B365D"/>
          <w:sz w:val="20"/>
          <w:szCs w:val="20"/>
        </w:rPr>
      </w:pPr>
    </w:p>
    <w:p w14:paraId="5925EAA4" w14:textId="77777777" w:rsidR="00D82A0F" w:rsidRDefault="00D82A0F" w:rsidP="001010C9">
      <w:pPr>
        <w:pStyle w:val="Heading2"/>
        <w:jc w:val="left"/>
        <w:rPr>
          <w:rFonts w:ascii="Gotham" w:hAnsi="Gotham"/>
          <w:color w:val="1B365D"/>
          <w:sz w:val="20"/>
          <w:szCs w:val="20"/>
        </w:rPr>
      </w:pPr>
    </w:p>
    <w:p w14:paraId="1875AD07" w14:textId="77777777" w:rsidR="00D82A0F" w:rsidRDefault="00D82A0F" w:rsidP="001010C9">
      <w:pPr>
        <w:pStyle w:val="Heading2"/>
        <w:jc w:val="left"/>
        <w:rPr>
          <w:rFonts w:ascii="Gotham" w:hAnsi="Gotham"/>
          <w:color w:val="1B365D"/>
          <w:sz w:val="20"/>
          <w:szCs w:val="20"/>
        </w:rPr>
      </w:pPr>
    </w:p>
    <w:p w14:paraId="24E04181" w14:textId="77777777" w:rsidR="00D82A0F" w:rsidRDefault="00D82A0F" w:rsidP="001010C9">
      <w:pPr>
        <w:pStyle w:val="Heading2"/>
        <w:jc w:val="left"/>
        <w:rPr>
          <w:rFonts w:ascii="Gotham" w:hAnsi="Gotham"/>
          <w:color w:val="1B365D"/>
          <w:sz w:val="20"/>
          <w:szCs w:val="20"/>
        </w:rPr>
      </w:pPr>
    </w:p>
    <w:p w14:paraId="3B83BAB1" w14:textId="77777777" w:rsidR="00D82A0F" w:rsidRDefault="00D82A0F" w:rsidP="001010C9">
      <w:pPr>
        <w:pStyle w:val="Heading2"/>
        <w:jc w:val="left"/>
        <w:rPr>
          <w:rFonts w:ascii="Gotham" w:hAnsi="Gotham"/>
          <w:color w:val="1B365D"/>
          <w:sz w:val="20"/>
          <w:szCs w:val="20"/>
        </w:rPr>
      </w:pPr>
    </w:p>
    <w:p w14:paraId="0DCD09E1" w14:textId="77777777" w:rsidR="00D82A0F" w:rsidRDefault="00D82A0F" w:rsidP="001010C9">
      <w:pPr>
        <w:pStyle w:val="Heading2"/>
        <w:jc w:val="left"/>
        <w:rPr>
          <w:rFonts w:ascii="Gotham" w:hAnsi="Gotham"/>
          <w:color w:val="1B365D"/>
          <w:sz w:val="20"/>
          <w:szCs w:val="20"/>
        </w:rPr>
      </w:pPr>
    </w:p>
    <w:p w14:paraId="4C4F75D3" w14:textId="77777777" w:rsidR="00D82A0F" w:rsidRDefault="00D82A0F" w:rsidP="001010C9">
      <w:pPr>
        <w:pStyle w:val="Heading2"/>
        <w:jc w:val="left"/>
        <w:rPr>
          <w:rFonts w:ascii="Gotham" w:hAnsi="Gotham"/>
          <w:color w:val="1B365D"/>
          <w:sz w:val="20"/>
          <w:szCs w:val="20"/>
        </w:rPr>
      </w:pPr>
    </w:p>
    <w:p w14:paraId="71D87415" w14:textId="77777777" w:rsidR="00D82A0F" w:rsidRDefault="00D82A0F" w:rsidP="001010C9">
      <w:pPr>
        <w:pStyle w:val="Heading2"/>
        <w:jc w:val="left"/>
        <w:rPr>
          <w:rFonts w:ascii="Gotham" w:hAnsi="Gotham"/>
          <w:color w:val="1B365D"/>
          <w:sz w:val="20"/>
          <w:szCs w:val="20"/>
        </w:rPr>
      </w:pPr>
    </w:p>
    <w:p w14:paraId="102558E4" w14:textId="77777777" w:rsidR="00D82A0F" w:rsidRDefault="00D82A0F" w:rsidP="001010C9">
      <w:pPr>
        <w:pStyle w:val="Heading2"/>
        <w:jc w:val="left"/>
        <w:rPr>
          <w:rFonts w:ascii="Gotham" w:hAnsi="Gotham"/>
          <w:color w:val="1B365D"/>
          <w:sz w:val="20"/>
          <w:szCs w:val="20"/>
        </w:rPr>
      </w:pPr>
    </w:p>
    <w:p w14:paraId="57CD5AF7" w14:textId="77777777" w:rsidR="00D82A0F" w:rsidRDefault="00D82A0F" w:rsidP="001010C9">
      <w:pPr>
        <w:pStyle w:val="Heading2"/>
        <w:jc w:val="left"/>
        <w:rPr>
          <w:rFonts w:ascii="Gotham" w:hAnsi="Gotham"/>
          <w:color w:val="1B365D"/>
          <w:sz w:val="20"/>
          <w:szCs w:val="20"/>
        </w:rPr>
      </w:pPr>
    </w:p>
    <w:p w14:paraId="13939309" w14:textId="77777777" w:rsidR="00D82A0F" w:rsidRDefault="00D82A0F" w:rsidP="001010C9">
      <w:pPr>
        <w:pStyle w:val="Heading2"/>
        <w:jc w:val="left"/>
        <w:rPr>
          <w:rFonts w:ascii="Gotham" w:hAnsi="Gotham"/>
          <w:color w:val="1B365D"/>
          <w:sz w:val="20"/>
          <w:szCs w:val="20"/>
        </w:rPr>
      </w:pPr>
    </w:p>
    <w:p w14:paraId="04C1B471" w14:textId="77777777" w:rsidR="00D82A0F" w:rsidRDefault="00D82A0F" w:rsidP="001010C9">
      <w:pPr>
        <w:pStyle w:val="Heading2"/>
        <w:jc w:val="left"/>
        <w:rPr>
          <w:rFonts w:ascii="Gotham" w:hAnsi="Gotham"/>
          <w:color w:val="1B365D"/>
          <w:sz w:val="20"/>
          <w:szCs w:val="20"/>
        </w:rPr>
      </w:pPr>
    </w:p>
    <w:p w14:paraId="64CE7C02" w14:textId="77777777" w:rsidR="00D82A0F" w:rsidRDefault="00D82A0F" w:rsidP="001010C9">
      <w:pPr>
        <w:pStyle w:val="Heading2"/>
        <w:jc w:val="left"/>
        <w:rPr>
          <w:rFonts w:ascii="Gotham" w:hAnsi="Gotham"/>
          <w:color w:val="1B365D"/>
          <w:sz w:val="20"/>
          <w:szCs w:val="20"/>
        </w:rPr>
      </w:pPr>
    </w:p>
    <w:p w14:paraId="7E94B235" w14:textId="77777777" w:rsidR="00D82A0F" w:rsidRDefault="00D82A0F" w:rsidP="001010C9">
      <w:pPr>
        <w:pStyle w:val="Heading2"/>
        <w:jc w:val="left"/>
        <w:rPr>
          <w:rFonts w:ascii="Gotham" w:hAnsi="Gotham"/>
          <w:color w:val="1B365D"/>
          <w:sz w:val="20"/>
          <w:szCs w:val="20"/>
        </w:rPr>
      </w:pPr>
    </w:p>
    <w:p w14:paraId="03148700" w14:textId="77777777" w:rsidR="00D82A0F" w:rsidRDefault="00D82A0F" w:rsidP="001010C9">
      <w:pPr>
        <w:pStyle w:val="Heading2"/>
        <w:jc w:val="left"/>
        <w:rPr>
          <w:rFonts w:ascii="Gotham" w:hAnsi="Gotham"/>
          <w:color w:val="1B365D"/>
          <w:sz w:val="20"/>
          <w:szCs w:val="20"/>
        </w:rPr>
      </w:pPr>
    </w:p>
    <w:p w14:paraId="1C620825" w14:textId="77777777" w:rsidR="00D82A0F" w:rsidRDefault="00D82A0F" w:rsidP="001010C9">
      <w:pPr>
        <w:pStyle w:val="Heading2"/>
        <w:jc w:val="left"/>
        <w:rPr>
          <w:rFonts w:ascii="Gotham" w:hAnsi="Gotham"/>
          <w:color w:val="1B365D"/>
          <w:sz w:val="20"/>
          <w:szCs w:val="20"/>
        </w:rPr>
      </w:pPr>
    </w:p>
    <w:p w14:paraId="48EFFF81" w14:textId="77777777" w:rsidR="00D82A0F" w:rsidRDefault="00D82A0F" w:rsidP="001010C9">
      <w:pPr>
        <w:pStyle w:val="Heading2"/>
        <w:jc w:val="left"/>
        <w:rPr>
          <w:rFonts w:ascii="Gotham" w:hAnsi="Gotham"/>
          <w:color w:val="1B365D"/>
          <w:sz w:val="20"/>
          <w:szCs w:val="20"/>
        </w:rPr>
      </w:pPr>
    </w:p>
    <w:p w14:paraId="73E29B17" w14:textId="77777777" w:rsidR="00D82A0F" w:rsidRDefault="00D82A0F" w:rsidP="001010C9">
      <w:pPr>
        <w:pStyle w:val="Heading2"/>
        <w:jc w:val="left"/>
        <w:rPr>
          <w:rFonts w:ascii="Gotham" w:hAnsi="Gotham"/>
          <w:color w:val="1B365D"/>
          <w:sz w:val="20"/>
          <w:szCs w:val="20"/>
        </w:rPr>
      </w:pPr>
    </w:p>
    <w:p w14:paraId="4EF5219C" w14:textId="77777777" w:rsidR="00D82A0F" w:rsidRDefault="00D82A0F" w:rsidP="001010C9">
      <w:pPr>
        <w:pStyle w:val="Heading2"/>
        <w:jc w:val="left"/>
        <w:rPr>
          <w:rFonts w:ascii="Gotham" w:hAnsi="Gotham"/>
          <w:color w:val="1B365D"/>
          <w:sz w:val="20"/>
          <w:szCs w:val="20"/>
        </w:rPr>
      </w:pPr>
    </w:p>
    <w:p w14:paraId="702C3D93" w14:textId="77777777" w:rsidR="00D82A0F" w:rsidRDefault="00D82A0F" w:rsidP="001010C9">
      <w:pPr>
        <w:pStyle w:val="Heading2"/>
        <w:jc w:val="left"/>
        <w:rPr>
          <w:rFonts w:ascii="Gotham" w:hAnsi="Gotham"/>
          <w:color w:val="1B365D"/>
          <w:sz w:val="20"/>
          <w:szCs w:val="20"/>
        </w:rPr>
      </w:pPr>
    </w:p>
    <w:p w14:paraId="696D1377" w14:textId="77777777" w:rsidR="00D82A0F" w:rsidRDefault="00D82A0F" w:rsidP="001010C9">
      <w:pPr>
        <w:pStyle w:val="Heading2"/>
        <w:jc w:val="left"/>
        <w:rPr>
          <w:rFonts w:ascii="Gotham" w:hAnsi="Gotham"/>
          <w:color w:val="1B365D"/>
          <w:sz w:val="20"/>
          <w:szCs w:val="20"/>
        </w:rPr>
      </w:pPr>
    </w:p>
    <w:p w14:paraId="7EBFF7DD" w14:textId="77777777" w:rsidR="00D82A0F" w:rsidRDefault="00D82A0F" w:rsidP="001010C9">
      <w:pPr>
        <w:pStyle w:val="Heading2"/>
        <w:jc w:val="left"/>
        <w:rPr>
          <w:rFonts w:ascii="Gotham" w:hAnsi="Gotham"/>
          <w:color w:val="1B365D"/>
          <w:sz w:val="20"/>
          <w:szCs w:val="20"/>
        </w:rPr>
      </w:pPr>
    </w:p>
    <w:p w14:paraId="56ED4A3F" w14:textId="77777777" w:rsidR="00D82A0F" w:rsidRDefault="00D82A0F" w:rsidP="001010C9">
      <w:pPr>
        <w:pStyle w:val="Heading2"/>
        <w:jc w:val="left"/>
        <w:rPr>
          <w:rFonts w:ascii="Gotham" w:hAnsi="Gotham"/>
          <w:color w:val="1B365D"/>
          <w:sz w:val="20"/>
          <w:szCs w:val="20"/>
        </w:rPr>
      </w:pPr>
    </w:p>
    <w:p w14:paraId="69E36E13" w14:textId="77777777" w:rsidR="00D82A0F" w:rsidRDefault="00D82A0F" w:rsidP="001010C9">
      <w:pPr>
        <w:pStyle w:val="Heading2"/>
        <w:jc w:val="left"/>
        <w:rPr>
          <w:rFonts w:ascii="Gotham" w:hAnsi="Gotham"/>
          <w:color w:val="1B365D"/>
          <w:sz w:val="20"/>
          <w:szCs w:val="20"/>
        </w:rPr>
      </w:pPr>
    </w:p>
    <w:p w14:paraId="62A2EC19" w14:textId="77777777" w:rsidR="00D82A0F" w:rsidRDefault="00D82A0F" w:rsidP="001010C9">
      <w:pPr>
        <w:pStyle w:val="Heading2"/>
        <w:jc w:val="left"/>
        <w:rPr>
          <w:rFonts w:ascii="Gotham" w:hAnsi="Gotham"/>
          <w:color w:val="1B365D"/>
          <w:sz w:val="20"/>
          <w:szCs w:val="20"/>
        </w:rPr>
      </w:pPr>
    </w:p>
    <w:p w14:paraId="37DCF1A7" w14:textId="77777777" w:rsidR="00D82A0F" w:rsidRDefault="00D82A0F" w:rsidP="001010C9">
      <w:pPr>
        <w:pStyle w:val="Heading2"/>
        <w:jc w:val="left"/>
        <w:rPr>
          <w:rFonts w:ascii="Gotham" w:hAnsi="Gotham"/>
          <w:color w:val="1B365D"/>
          <w:sz w:val="20"/>
          <w:szCs w:val="20"/>
        </w:rPr>
      </w:pPr>
    </w:p>
    <w:p w14:paraId="60410921" w14:textId="77777777" w:rsidR="00D82A0F" w:rsidRDefault="00D82A0F" w:rsidP="001010C9">
      <w:pPr>
        <w:pStyle w:val="Heading2"/>
        <w:jc w:val="left"/>
        <w:rPr>
          <w:rFonts w:ascii="Gotham" w:hAnsi="Gotham"/>
          <w:color w:val="1B365D"/>
          <w:sz w:val="20"/>
          <w:szCs w:val="20"/>
        </w:rPr>
      </w:pPr>
    </w:p>
    <w:p w14:paraId="665A1A11" w14:textId="77777777" w:rsidR="00D82A0F" w:rsidRDefault="00D82A0F" w:rsidP="001010C9">
      <w:pPr>
        <w:pStyle w:val="Heading2"/>
        <w:jc w:val="left"/>
        <w:rPr>
          <w:rFonts w:ascii="Gotham" w:hAnsi="Gotham"/>
          <w:color w:val="1B365D"/>
          <w:sz w:val="20"/>
          <w:szCs w:val="20"/>
        </w:rPr>
      </w:pPr>
    </w:p>
    <w:p w14:paraId="060F45B3" w14:textId="77777777" w:rsidR="00D82A0F" w:rsidRDefault="00D82A0F" w:rsidP="001010C9">
      <w:pPr>
        <w:pStyle w:val="Heading2"/>
        <w:jc w:val="left"/>
        <w:rPr>
          <w:rFonts w:ascii="Gotham" w:hAnsi="Gotham"/>
          <w:color w:val="1B365D"/>
          <w:sz w:val="20"/>
          <w:szCs w:val="20"/>
        </w:rPr>
      </w:pPr>
    </w:p>
    <w:p w14:paraId="591763FE" w14:textId="77777777" w:rsidR="00D82A0F" w:rsidRDefault="00D82A0F" w:rsidP="001010C9">
      <w:pPr>
        <w:pStyle w:val="Heading2"/>
        <w:jc w:val="left"/>
        <w:rPr>
          <w:rFonts w:ascii="Gotham" w:hAnsi="Gotham"/>
          <w:color w:val="1B365D"/>
          <w:sz w:val="20"/>
          <w:szCs w:val="20"/>
        </w:rPr>
      </w:pPr>
    </w:p>
    <w:p w14:paraId="1FEB0545" w14:textId="77777777" w:rsidR="00D82A0F" w:rsidRDefault="00D82A0F" w:rsidP="001010C9">
      <w:pPr>
        <w:pStyle w:val="Heading2"/>
        <w:jc w:val="left"/>
        <w:rPr>
          <w:rFonts w:ascii="Gotham" w:hAnsi="Gotham"/>
          <w:color w:val="1B365D"/>
          <w:sz w:val="20"/>
          <w:szCs w:val="20"/>
        </w:rPr>
      </w:pPr>
    </w:p>
    <w:p w14:paraId="2D61DC15" w14:textId="77777777" w:rsidR="00D82A0F" w:rsidRDefault="00D82A0F" w:rsidP="001010C9">
      <w:pPr>
        <w:pStyle w:val="Heading2"/>
        <w:jc w:val="left"/>
        <w:rPr>
          <w:rFonts w:ascii="Gotham" w:hAnsi="Gotham"/>
          <w:color w:val="1B365D"/>
          <w:sz w:val="20"/>
          <w:szCs w:val="20"/>
        </w:rPr>
      </w:pPr>
    </w:p>
    <w:p w14:paraId="630848EA" w14:textId="77777777" w:rsidR="00D82A0F" w:rsidRDefault="00D82A0F" w:rsidP="001010C9">
      <w:pPr>
        <w:pStyle w:val="Heading2"/>
        <w:jc w:val="left"/>
        <w:rPr>
          <w:rFonts w:ascii="Gotham" w:hAnsi="Gotham"/>
          <w:color w:val="1B365D"/>
          <w:sz w:val="20"/>
          <w:szCs w:val="20"/>
        </w:rPr>
      </w:pPr>
    </w:p>
    <w:p w14:paraId="5133FC9C" w14:textId="1BC155E1" w:rsidR="00F733A0" w:rsidRPr="00000E13" w:rsidRDefault="00F733A0" w:rsidP="00E83BAF">
      <w:pPr>
        <w:pStyle w:val="Heading2"/>
        <w:jc w:val="center"/>
        <w:rPr>
          <w:rFonts w:ascii="Gotham" w:hAnsi="Gotham"/>
          <w:b w:val="0"/>
          <w:bCs/>
          <w:color w:val="1B365D"/>
          <w:sz w:val="32"/>
          <w:szCs w:val="32"/>
        </w:rPr>
      </w:pPr>
      <w:r w:rsidRPr="00000E13">
        <w:rPr>
          <w:rFonts w:ascii="Gotham" w:hAnsi="Gotham"/>
          <w:b w:val="0"/>
          <w:bCs/>
          <w:color w:val="1B365D"/>
          <w:sz w:val="32"/>
          <w:szCs w:val="32"/>
        </w:rPr>
        <w:lastRenderedPageBreak/>
        <w:t>WHISTLEBLOWING POLICY</w:t>
      </w:r>
      <w:bookmarkEnd w:id="0"/>
    </w:p>
    <w:p w14:paraId="526EBA5F" w14:textId="77777777" w:rsidR="00F733A0" w:rsidRPr="00F053B6" w:rsidRDefault="00F733A0" w:rsidP="001010C9">
      <w:pPr>
        <w:jc w:val="left"/>
        <w:rPr>
          <w:rFonts w:ascii="Gotham" w:hAnsi="Gotham"/>
          <w:color w:val="1B365D"/>
        </w:rPr>
      </w:pPr>
    </w:p>
    <w:p w14:paraId="7CF0B636" w14:textId="77777777" w:rsidR="00F733A0" w:rsidRPr="00F053B6" w:rsidRDefault="00F733A0" w:rsidP="001010C9">
      <w:pPr>
        <w:pStyle w:val="Heading3"/>
        <w:jc w:val="left"/>
        <w:rPr>
          <w:rFonts w:ascii="Gotham" w:hAnsi="Gotham"/>
          <w:color w:val="1B365D"/>
          <w:sz w:val="24"/>
          <w:szCs w:val="24"/>
        </w:rPr>
      </w:pPr>
      <w:bookmarkStart w:id="1" w:name="_Toc531272170"/>
      <w:r w:rsidRPr="00F053B6">
        <w:rPr>
          <w:rFonts w:ascii="Gotham" w:hAnsi="Gotham"/>
          <w:color w:val="1B365D"/>
          <w:sz w:val="24"/>
          <w:szCs w:val="24"/>
        </w:rPr>
        <w:t>Policy Statement</w:t>
      </w:r>
      <w:bookmarkEnd w:id="1"/>
    </w:p>
    <w:p w14:paraId="398B1E71" w14:textId="349E2402" w:rsidR="00F733A0" w:rsidRPr="00F053B6" w:rsidRDefault="00F733A0" w:rsidP="001010C9">
      <w:pPr>
        <w:jc w:val="left"/>
        <w:rPr>
          <w:rFonts w:ascii="Gotham" w:hAnsi="Gotham"/>
          <w:color w:val="1B365D"/>
        </w:rPr>
      </w:pPr>
      <w:r w:rsidRPr="00F053B6">
        <w:rPr>
          <w:rFonts w:ascii="Gotham" w:hAnsi="Gotham"/>
          <w:color w:val="1B365D"/>
        </w:rPr>
        <w:t xml:space="preserve">The Supply Register Ltd encourages a free and open culture in dealings between its managers, </w:t>
      </w:r>
      <w:r w:rsidR="00E87924" w:rsidRPr="00F053B6">
        <w:rPr>
          <w:rFonts w:ascii="Gotham" w:hAnsi="Gotham"/>
          <w:color w:val="1B365D"/>
        </w:rPr>
        <w:t>employees,</w:t>
      </w:r>
      <w:r w:rsidRPr="00F053B6">
        <w:rPr>
          <w:rFonts w:ascii="Gotham" w:hAnsi="Gotham"/>
          <w:color w:val="1B365D"/>
        </w:rPr>
        <w:t xml:space="preserve"> and all people with whom it engages in business and legal relations. In </w:t>
      </w:r>
      <w:proofErr w:type="gramStart"/>
      <w:r w:rsidRPr="00F053B6">
        <w:rPr>
          <w:rFonts w:ascii="Gotham" w:hAnsi="Gotham"/>
          <w:color w:val="1B365D"/>
        </w:rPr>
        <w:t>particular</w:t>
      </w:r>
      <w:r w:rsidR="00E87924">
        <w:rPr>
          <w:rFonts w:ascii="Gotham" w:hAnsi="Gotham"/>
          <w:color w:val="1B365D"/>
        </w:rPr>
        <w:t xml:space="preserve">  </w:t>
      </w:r>
      <w:r w:rsidRPr="00F053B6">
        <w:rPr>
          <w:rFonts w:ascii="Gotham" w:hAnsi="Gotham"/>
          <w:color w:val="1B365D"/>
        </w:rPr>
        <w:t>this</w:t>
      </w:r>
      <w:proofErr w:type="gramEnd"/>
      <w:r w:rsidRPr="00F053B6">
        <w:rPr>
          <w:rFonts w:ascii="Gotham" w:hAnsi="Gotham"/>
          <w:color w:val="1B365D"/>
        </w:rPr>
        <w:t xml:space="preserve"> company </w:t>
      </w:r>
      <w:proofErr w:type="spellStart"/>
      <w:r w:rsidRPr="00F053B6">
        <w:rPr>
          <w:rFonts w:ascii="Gotham" w:hAnsi="Gotham"/>
          <w:color w:val="1B365D"/>
        </w:rPr>
        <w:t>recognises</w:t>
      </w:r>
      <w:proofErr w:type="spellEnd"/>
      <w:r w:rsidRPr="00F053B6">
        <w:rPr>
          <w:rFonts w:ascii="Gotham" w:hAnsi="Gotham"/>
          <w:color w:val="1B365D"/>
        </w:rPr>
        <w:t xml:space="preserve"> that effective and honest communication is essential if concerns about breaches or failures are to be effectively dealt with and the company’s success ensured.</w:t>
      </w:r>
    </w:p>
    <w:p w14:paraId="291BB363" w14:textId="77777777" w:rsidR="00F733A0" w:rsidRPr="00F053B6" w:rsidRDefault="00F733A0" w:rsidP="001010C9">
      <w:pPr>
        <w:jc w:val="left"/>
        <w:rPr>
          <w:rFonts w:ascii="Gotham" w:hAnsi="Gotham"/>
          <w:color w:val="1B365D"/>
        </w:rPr>
      </w:pPr>
    </w:p>
    <w:p w14:paraId="26BDAABE" w14:textId="77777777" w:rsidR="00F733A0" w:rsidRPr="00F053B6" w:rsidRDefault="00F733A0" w:rsidP="001010C9">
      <w:pPr>
        <w:jc w:val="left"/>
        <w:rPr>
          <w:rFonts w:ascii="Gotham" w:hAnsi="Gotham"/>
          <w:color w:val="1B365D"/>
        </w:rPr>
      </w:pPr>
      <w:r w:rsidRPr="00F053B6">
        <w:rPr>
          <w:rFonts w:ascii="Gotham" w:hAnsi="Gotham"/>
          <w:color w:val="1B365D"/>
        </w:rPr>
        <w:t>This policy is designed to provide guidance to all those who work with or within the company who may from time to time feel that they need to raise certain issues relating to the company with someone in confidence.</w:t>
      </w:r>
    </w:p>
    <w:p w14:paraId="554C0354" w14:textId="77777777" w:rsidR="00F733A0" w:rsidRPr="00F053B6" w:rsidRDefault="00F733A0" w:rsidP="001010C9">
      <w:pPr>
        <w:jc w:val="left"/>
        <w:rPr>
          <w:rFonts w:ascii="Gotham" w:hAnsi="Gotham"/>
          <w:color w:val="1B365D"/>
        </w:rPr>
      </w:pPr>
    </w:p>
    <w:p w14:paraId="60289238" w14:textId="77777777" w:rsidR="00F733A0" w:rsidRPr="00F053B6" w:rsidRDefault="00F733A0" w:rsidP="001010C9">
      <w:pPr>
        <w:jc w:val="left"/>
        <w:rPr>
          <w:rFonts w:ascii="Gotham" w:hAnsi="Gotham"/>
          <w:color w:val="1B365D"/>
        </w:rPr>
      </w:pPr>
      <w:r w:rsidRPr="00F053B6">
        <w:rPr>
          <w:rFonts w:ascii="Gotham" w:hAnsi="Gotham"/>
          <w:color w:val="1B365D"/>
        </w:rPr>
        <w:t xml:space="preserve">Workers who in the public interest raise genuine concerns under this policy will not under any circumstances be subjected to any form of detriment or disadvantage </w:t>
      </w:r>
      <w:proofErr w:type="gramStart"/>
      <w:r w:rsidRPr="00F053B6">
        <w:rPr>
          <w:rFonts w:ascii="Gotham" w:hAnsi="Gotham"/>
          <w:color w:val="1B365D"/>
        </w:rPr>
        <w:t>as a result of</w:t>
      </w:r>
      <w:proofErr w:type="gramEnd"/>
      <w:r w:rsidRPr="00F053B6">
        <w:rPr>
          <w:rFonts w:ascii="Gotham" w:hAnsi="Gotham"/>
          <w:color w:val="1B365D"/>
        </w:rPr>
        <w:t xml:space="preserve"> having raised their concerns.</w:t>
      </w:r>
    </w:p>
    <w:p w14:paraId="0F7E4CFB" w14:textId="77777777" w:rsidR="00F733A0" w:rsidRPr="00F053B6" w:rsidRDefault="00F733A0" w:rsidP="001010C9">
      <w:pPr>
        <w:jc w:val="left"/>
        <w:rPr>
          <w:rFonts w:ascii="Gotham" w:hAnsi="Gotham"/>
          <w:color w:val="1B365D"/>
          <w:sz w:val="24"/>
          <w:szCs w:val="24"/>
        </w:rPr>
      </w:pPr>
    </w:p>
    <w:p w14:paraId="7B5BFC77" w14:textId="77777777" w:rsidR="00F733A0" w:rsidRPr="00F053B6" w:rsidRDefault="00F733A0" w:rsidP="001010C9">
      <w:pPr>
        <w:pStyle w:val="Heading3"/>
        <w:jc w:val="left"/>
        <w:rPr>
          <w:rFonts w:ascii="Gotham" w:hAnsi="Gotham"/>
          <w:color w:val="1B365D"/>
          <w:sz w:val="24"/>
          <w:szCs w:val="24"/>
        </w:rPr>
      </w:pPr>
      <w:bookmarkStart w:id="2" w:name="_Toc531272171"/>
      <w:r w:rsidRPr="00F053B6">
        <w:rPr>
          <w:rFonts w:ascii="Gotham" w:hAnsi="Gotham"/>
          <w:color w:val="1B365D"/>
          <w:sz w:val="24"/>
          <w:szCs w:val="24"/>
        </w:rPr>
        <w:t>Background</w:t>
      </w:r>
      <w:bookmarkEnd w:id="2"/>
      <w:r w:rsidRPr="00F053B6">
        <w:rPr>
          <w:rFonts w:ascii="Gotham" w:hAnsi="Gotham"/>
          <w:color w:val="1B365D"/>
          <w:sz w:val="24"/>
          <w:szCs w:val="24"/>
        </w:rPr>
        <w:tab/>
      </w:r>
    </w:p>
    <w:p w14:paraId="12F165C8" w14:textId="77777777" w:rsidR="00F733A0" w:rsidRPr="00F053B6" w:rsidRDefault="00F733A0" w:rsidP="001010C9">
      <w:pPr>
        <w:jc w:val="left"/>
        <w:rPr>
          <w:rFonts w:ascii="Gotham" w:hAnsi="Gotham"/>
          <w:color w:val="1B365D"/>
        </w:rPr>
      </w:pPr>
      <w:r w:rsidRPr="00F053B6">
        <w:rPr>
          <w:rFonts w:ascii="Gotham" w:hAnsi="Gotham"/>
          <w:color w:val="1B365D"/>
        </w:rPr>
        <w:t xml:space="preserve">The Public Interest Disclosure Act 1998 </w:t>
      </w:r>
      <w:proofErr w:type="spellStart"/>
      <w:r w:rsidRPr="00F053B6">
        <w:rPr>
          <w:rFonts w:ascii="Gotham" w:hAnsi="Gotham"/>
          <w:color w:val="1B365D"/>
        </w:rPr>
        <w:t>recognised</w:t>
      </w:r>
      <w:proofErr w:type="spellEnd"/>
      <w:r w:rsidRPr="00F053B6">
        <w:rPr>
          <w:rFonts w:ascii="Gotham" w:hAnsi="Gotham"/>
          <w:color w:val="1B365D"/>
        </w:rPr>
        <w:t xml:space="preserve"> that workers have the right to “blow the whistle” and disclose certain information, </w:t>
      </w:r>
      <w:proofErr w:type="gramStart"/>
      <w:r w:rsidRPr="00F053B6">
        <w:rPr>
          <w:rFonts w:ascii="Gotham" w:hAnsi="Gotham"/>
          <w:color w:val="1B365D"/>
        </w:rPr>
        <w:t>e.g.</w:t>
      </w:r>
      <w:proofErr w:type="gramEnd"/>
      <w:r w:rsidRPr="00F053B6">
        <w:rPr>
          <w:rFonts w:ascii="Gotham" w:hAnsi="Gotham"/>
          <w:color w:val="1B365D"/>
        </w:rPr>
        <w:t xml:space="preserve"> fraudulent activities, malpractice and/or concerns about health and safety.</w:t>
      </w:r>
    </w:p>
    <w:p w14:paraId="51DA6992" w14:textId="77777777" w:rsidR="00F733A0" w:rsidRPr="00F053B6" w:rsidRDefault="00F733A0" w:rsidP="001010C9">
      <w:pPr>
        <w:jc w:val="left"/>
        <w:rPr>
          <w:rFonts w:ascii="Gotham" w:hAnsi="Gotham"/>
          <w:color w:val="1B365D"/>
        </w:rPr>
      </w:pPr>
    </w:p>
    <w:p w14:paraId="4310DD8E" w14:textId="2CC12A5E" w:rsidR="00F733A0" w:rsidRPr="00F053B6" w:rsidRDefault="00F733A0" w:rsidP="001010C9">
      <w:pPr>
        <w:jc w:val="left"/>
        <w:rPr>
          <w:rFonts w:ascii="Gotham" w:hAnsi="Gotham"/>
          <w:color w:val="1B365D"/>
        </w:rPr>
      </w:pPr>
      <w:r w:rsidRPr="00F053B6">
        <w:rPr>
          <w:rFonts w:ascii="Gotham" w:hAnsi="Gotham"/>
          <w:color w:val="1B365D"/>
        </w:rPr>
        <w:t xml:space="preserve">The Act introduced specific rights for those who disclose information to a third party about an alleged </w:t>
      </w:r>
      <w:proofErr w:type="gramStart"/>
      <w:r w:rsidRPr="00F053B6">
        <w:rPr>
          <w:rFonts w:ascii="Gotham" w:hAnsi="Gotham"/>
          <w:color w:val="1B365D"/>
        </w:rPr>
        <w:t>wrong doing</w:t>
      </w:r>
      <w:proofErr w:type="gramEnd"/>
      <w:r w:rsidRPr="00F053B6">
        <w:rPr>
          <w:rFonts w:ascii="Gotham" w:hAnsi="Gotham"/>
          <w:color w:val="1B365D"/>
        </w:rPr>
        <w:t xml:space="preserve"> in </w:t>
      </w:r>
      <w:r w:rsidRPr="00F053B6">
        <w:rPr>
          <w:rFonts w:ascii="Gotham" w:hAnsi="Gotham"/>
          <w:b/>
          <w:color w:val="1B365D"/>
        </w:rPr>
        <w:t>defined</w:t>
      </w:r>
      <w:r w:rsidRPr="00F053B6">
        <w:rPr>
          <w:rFonts w:ascii="Gotham" w:hAnsi="Gotham"/>
          <w:color w:val="1B365D"/>
        </w:rPr>
        <w:t xml:space="preserve"> circumstances. There is no general right for all so-called whistle-blowers to receive special protection. To qualify, the following issues must be met:</w:t>
      </w:r>
    </w:p>
    <w:p w14:paraId="7910706B" w14:textId="77777777" w:rsidR="00F733A0" w:rsidRPr="00F053B6" w:rsidRDefault="00F733A0" w:rsidP="001010C9">
      <w:pPr>
        <w:jc w:val="left"/>
        <w:rPr>
          <w:rFonts w:ascii="Gotham" w:hAnsi="Gotham"/>
          <w:color w:val="1B365D"/>
        </w:rPr>
      </w:pPr>
    </w:p>
    <w:p w14:paraId="06B59EED" w14:textId="77777777" w:rsidR="00F733A0" w:rsidRPr="00F053B6" w:rsidRDefault="00F733A0" w:rsidP="001010C9">
      <w:pPr>
        <w:numPr>
          <w:ilvl w:val="0"/>
          <w:numId w:val="5"/>
        </w:numPr>
        <w:spacing w:after="120"/>
        <w:jc w:val="left"/>
        <w:rPr>
          <w:rFonts w:ascii="Gotham" w:hAnsi="Gotham"/>
          <w:color w:val="1B365D"/>
        </w:rPr>
      </w:pPr>
      <w:r w:rsidRPr="00F053B6">
        <w:rPr>
          <w:rFonts w:ascii="Gotham" w:hAnsi="Gotham"/>
          <w:color w:val="1B365D"/>
        </w:rPr>
        <w:t>The Disclosure in question must relate to one of the specified categories contained within the Act; and</w:t>
      </w:r>
    </w:p>
    <w:p w14:paraId="0C9309C6" w14:textId="48DB4C86" w:rsidR="001010C9" w:rsidRPr="001010C9" w:rsidRDefault="00F733A0" w:rsidP="001010C9">
      <w:pPr>
        <w:numPr>
          <w:ilvl w:val="0"/>
          <w:numId w:val="5"/>
        </w:numPr>
        <w:spacing w:after="120"/>
        <w:jc w:val="left"/>
        <w:rPr>
          <w:rFonts w:ascii="Gotham" w:hAnsi="Gotham"/>
          <w:color w:val="1B365D"/>
        </w:rPr>
      </w:pPr>
      <w:r w:rsidRPr="00F053B6">
        <w:rPr>
          <w:rFonts w:ascii="Gotham" w:hAnsi="Gotham"/>
          <w:color w:val="1B365D"/>
        </w:rPr>
        <w:t>The Disclosure must be made in one of the ways specified.</w:t>
      </w:r>
    </w:p>
    <w:p w14:paraId="625A47B1" w14:textId="77777777" w:rsidR="00F733A0" w:rsidRPr="00F053B6" w:rsidRDefault="00F733A0" w:rsidP="001010C9">
      <w:pPr>
        <w:pStyle w:val="Heading3"/>
        <w:jc w:val="left"/>
        <w:rPr>
          <w:rFonts w:ascii="Gotham" w:hAnsi="Gotham"/>
          <w:color w:val="1B365D"/>
          <w:sz w:val="24"/>
          <w:szCs w:val="24"/>
        </w:rPr>
      </w:pPr>
      <w:bookmarkStart w:id="3" w:name="_Toc531272172"/>
      <w:r w:rsidRPr="00F053B6">
        <w:rPr>
          <w:rFonts w:ascii="Gotham" w:hAnsi="Gotham"/>
          <w:color w:val="1B365D"/>
          <w:sz w:val="24"/>
          <w:szCs w:val="24"/>
        </w:rPr>
        <w:t>Procedure</w:t>
      </w:r>
      <w:bookmarkEnd w:id="3"/>
    </w:p>
    <w:p w14:paraId="3C7D2DFD" w14:textId="77777777" w:rsidR="00F733A0" w:rsidRPr="00F053B6" w:rsidRDefault="00F733A0" w:rsidP="001010C9">
      <w:pPr>
        <w:jc w:val="left"/>
        <w:rPr>
          <w:rFonts w:ascii="Gotham" w:hAnsi="Gotham"/>
          <w:color w:val="1B365D"/>
        </w:rPr>
      </w:pPr>
      <w:r w:rsidRPr="00F053B6">
        <w:rPr>
          <w:rFonts w:ascii="Gotham" w:hAnsi="Gotham"/>
          <w:color w:val="1B365D"/>
        </w:rPr>
        <w:t>This policy will apply in cases where workers genuinely believe that one of the following sets of circumstances is occurring, has occurred or may occur within the company and that it is in the public interest for the employee to disclose it. The matters that may be disclosed in this way are that:</w:t>
      </w:r>
    </w:p>
    <w:p w14:paraId="295A1C4D" w14:textId="77777777" w:rsidR="00F733A0" w:rsidRPr="00F053B6" w:rsidRDefault="00F733A0" w:rsidP="001010C9">
      <w:pPr>
        <w:jc w:val="left"/>
        <w:rPr>
          <w:rFonts w:ascii="Gotham" w:hAnsi="Gotham"/>
          <w:color w:val="1B365D"/>
        </w:rPr>
      </w:pPr>
    </w:p>
    <w:p w14:paraId="00FC8434" w14:textId="77777777" w:rsidR="00F733A0" w:rsidRPr="00F053B6" w:rsidRDefault="00F733A0" w:rsidP="001010C9">
      <w:pPr>
        <w:numPr>
          <w:ilvl w:val="0"/>
          <w:numId w:val="3"/>
        </w:numPr>
        <w:spacing w:after="120"/>
        <w:jc w:val="left"/>
        <w:rPr>
          <w:rFonts w:ascii="Gotham" w:hAnsi="Gotham"/>
          <w:color w:val="1B365D"/>
        </w:rPr>
      </w:pPr>
      <w:r w:rsidRPr="00F053B6">
        <w:rPr>
          <w:rFonts w:ascii="Gotham" w:hAnsi="Gotham"/>
          <w:color w:val="1B365D"/>
        </w:rPr>
        <w:t>A criminal offence has been committed, is being committed or is likely to be committed; or</w:t>
      </w:r>
    </w:p>
    <w:p w14:paraId="72686447" w14:textId="77777777" w:rsidR="00F733A0" w:rsidRPr="00F053B6" w:rsidRDefault="00F733A0" w:rsidP="001010C9">
      <w:pPr>
        <w:numPr>
          <w:ilvl w:val="0"/>
          <w:numId w:val="3"/>
        </w:numPr>
        <w:spacing w:after="120"/>
        <w:jc w:val="left"/>
        <w:rPr>
          <w:rFonts w:ascii="Gotham" w:hAnsi="Gotham"/>
          <w:color w:val="1B365D"/>
        </w:rPr>
      </w:pPr>
      <w:r w:rsidRPr="00F053B6">
        <w:rPr>
          <w:rFonts w:ascii="Gotham" w:hAnsi="Gotham"/>
          <w:color w:val="1B365D"/>
        </w:rPr>
        <w:t>A person has failed, is failing or is likely to fail to comply with any legal obligation to which s/he is subject; or</w:t>
      </w:r>
    </w:p>
    <w:p w14:paraId="29DBEA23" w14:textId="77777777" w:rsidR="00F733A0" w:rsidRPr="00F053B6" w:rsidRDefault="00F733A0" w:rsidP="001010C9">
      <w:pPr>
        <w:numPr>
          <w:ilvl w:val="0"/>
          <w:numId w:val="3"/>
        </w:numPr>
        <w:spacing w:after="120"/>
        <w:jc w:val="left"/>
        <w:rPr>
          <w:rFonts w:ascii="Gotham" w:hAnsi="Gotham"/>
          <w:color w:val="1B365D"/>
        </w:rPr>
      </w:pPr>
      <w:r w:rsidRPr="00F053B6">
        <w:rPr>
          <w:rFonts w:ascii="Gotham" w:hAnsi="Gotham"/>
          <w:color w:val="1B365D"/>
        </w:rPr>
        <w:t>A miscarriage of justice has occurred, is occurring or is likely to occur; or</w:t>
      </w:r>
    </w:p>
    <w:p w14:paraId="74B206C5" w14:textId="77777777" w:rsidR="00F733A0" w:rsidRPr="00F053B6" w:rsidRDefault="00F733A0" w:rsidP="001010C9">
      <w:pPr>
        <w:numPr>
          <w:ilvl w:val="0"/>
          <w:numId w:val="3"/>
        </w:numPr>
        <w:spacing w:after="120"/>
        <w:jc w:val="left"/>
        <w:rPr>
          <w:rFonts w:ascii="Gotham" w:hAnsi="Gotham"/>
          <w:color w:val="1B365D"/>
        </w:rPr>
      </w:pPr>
      <w:r w:rsidRPr="00F053B6">
        <w:rPr>
          <w:rFonts w:ascii="Gotham" w:hAnsi="Gotham"/>
          <w:color w:val="1B365D"/>
        </w:rPr>
        <w:t>The health or safety of an individual has been, or is being or is likely to be endangered; or</w:t>
      </w:r>
    </w:p>
    <w:p w14:paraId="6CBAAD66" w14:textId="77777777" w:rsidR="00F733A0" w:rsidRPr="00F053B6" w:rsidRDefault="00F733A0" w:rsidP="001010C9">
      <w:pPr>
        <w:numPr>
          <w:ilvl w:val="0"/>
          <w:numId w:val="3"/>
        </w:numPr>
        <w:spacing w:after="120"/>
        <w:jc w:val="left"/>
        <w:rPr>
          <w:rFonts w:ascii="Gotham" w:hAnsi="Gotham"/>
          <w:color w:val="1B365D"/>
        </w:rPr>
      </w:pPr>
      <w:r w:rsidRPr="00F053B6">
        <w:rPr>
          <w:rFonts w:ascii="Gotham" w:hAnsi="Gotham"/>
          <w:color w:val="1B365D"/>
        </w:rPr>
        <w:t>The environment has been, is being or is likely to be damaged, or</w:t>
      </w:r>
    </w:p>
    <w:p w14:paraId="509B0961" w14:textId="77777777" w:rsidR="00F733A0" w:rsidRPr="00F053B6" w:rsidRDefault="00F733A0" w:rsidP="001010C9">
      <w:pPr>
        <w:numPr>
          <w:ilvl w:val="0"/>
          <w:numId w:val="3"/>
        </w:numPr>
        <w:spacing w:after="120"/>
        <w:jc w:val="left"/>
        <w:rPr>
          <w:rFonts w:ascii="Gotham" w:hAnsi="Gotham"/>
          <w:color w:val="1B365D"/>
        </w:rPr>
      </w:pPr>
      <w:r w:rsidRPr="00F053B6">
        <w:rPr>
          <w:rFonts w:ascii="Gotham" w:hAnsi="Gotham"/>
          <w:color w:val="1B365D"/>
        </w:rPr>
        <w:t>Information tending to show any massive failing within any one of the proceeding paragraphs has been, is being or is likely to be deliberately concealed.</w:t>
      </w:r>
    </w:p>
    <w:p w14:paraId="66C3BAA8" w14:textId="77777777" w:rsidR="00F733A0" w:rsidRPr="00F053B6" w:rsidRDefault="00F733A0" w:rsidP="001010C9">
      <w:pPr>
        <w:jc w:val="left"/>
        <w:rPr>
          <w:rFonts w:ascii="Gotham" w:hAnsi="Gotham"/>
          <w:color w:val="1B365D"/>
        </w:rPr>
      </w:pPr>
    </w:p>
    <w:p w14:paraId="7DDCB8DC" w14:textId="77777777" w:rsidR="00F733A0" w:rsidRPr="00F053B6" w:rsidRDefault="00F733A0" w:rsidP="001010C9">
      <w:pPr>
        <w:jc w:val="left"/>
        <w:rPr>
          <w:rFonts w:ascii="Gotham" w:hAnsi="Gotham"/>
          <w:color w:val="1B365D"/>
        </w:rPr>
      </w:pPr>
      <w:r w:rsidRPr="00F053B6">
        <w:rPr>
          <w:rFonts w:ascii="Gotham" w:hAnsi="Gotham"/>
          <w:color w:val="1B365D"/>
        </w:rPr>
        <w:t xml:space="preserve">We aim to encourage anyone with a genuine concern to raise it by providing the facility to make the complaint to someone who has no direct involvement with the issue. The issue should be reported to a director or another responsible person in a senior position. If there is not a sufficiently senior person to deal with the complaint within the </w:t>
      </w:r>
      <w:proofErr w:type="spellStart"/>
      <w:r w:rsidRPr="00F053B6">
        <w:rPr>
          <w:rFonts w:ascii="Gotham" w:hAnsi="Gotham"/>
          <w:color w:val="1B365D"/>
        </w:rPr>
        <w:t>organisation</w:t>
      </w:r>
      <w:proofErr w:type="spellEnd"/>
      <w:r w:rsidRPr="00F053B6">
        <w:rPr>
          <w:rFonts w:ascii="Gotham" w:hAnsi="Gotham"/>
          <w:color w:val="1B365D"/>
        </w:rPr>
        <w:t xml:space="preserve">, external routes should be considered, as set out by the Act. The matter will be dealt with objectively and in a confidential manner. If you have a concern, do not wait until you have proof or investigate the matter yourself; a reasonable suspicion will suffice, </w:t>
      </w:r>
      <w:proofErr w:type="gramStart"/>
      <w:r w:rsidRPr="00F053B6">
        <w:rPr>
          <w:rFonts w:ascii="Gotham" w:hAnsi="Gotham"/>
          <w:color w:val="1B365D"/>
        </w:rPr>
        <w:t>i.e.</w:t>
      </w:r>
      <w:proofErr w:type="gramEnd"/>
      <w:r w:rsidRPr="00F053B6">
        <w:rPr>
          <w:rFonts w:ascii="Gotham" w:hAnsi="Gotham"/>
          <w:color w:val="1B365D"/>
        </w:rPr>
        <w:t xml:space="preserve"> where you reasonably believe that the information disclosed is substantially true.</w:t>
      </w:r>
    </w:p>
    <w:p w14:paraId="17ACDD77" w14:textId="77777777" w:rsidR="00F733A0" w:rsidRPr="00F053B6" w:rsidRDefault="00F733A0" w:rsidP="001010C9">
      <w:pPr>
        <w:jc w:val="left"/>
        <w:rPr>
          <w:rFonts w:ascii="Gotham" w:hAnsi="Gotham"/>
          <w:color w:val="1B365D"/>
        </w:rPr>
      </w:pPr>
    </w:p>
    <w:p w14:paraId="5DB8D65A" w14:textId="77777777" w:rsidR="00F733A0" w:rsidRPr="00F053B6" w:rsidRDefault="00F733A0" w:rsidP="001010C9">
      <w:pPr>
        <w:pStyle w:val="BodyText"/>
        <w:jc w:val="left"/>
        <w:rPr>
          <w:rFonts w:ascii="Gotham" w:hAnsi="Gotham"/>
          <w:color w:val="1B365D"/>
        </w:rPr>
      </w:pPr>
      <w:r w:rsidRPr="00F053B6">
        <w:rPr>
          <w:rFonts w:ascii="Gotham" w:hAnsi="Gotham"/>
          <w:color w:val="1B365D"/>
        </w:rPr>
        <w:lastRenderedPageBreak/>
        <w:t>However, there are two important exceptions where the Disclosure will not qualify for protection and they are:</w:t>
      </w:r>
    </w:p>
    <w:p w14:paraId="17041669" w14:textId="77777777" w:rsidR="00F733A0" w:rsidRPr="00F053B6" w:rsidRDefault="00F733A0" w:rsidP="001010C9">
      <w:pPr>
        <w:pStyle w:val="BodyText"/>
        <w:jc w:val="left"/>
        <w:rPr>
          <w:rFonts w:ascii="Gotham" w:hAnsi="Gotham"/>
          <w:color w:val="1B365D"/>
        </w:rPr>
      </w:pPr>
    </w:p>
    <w:p w14:paraId="12DC7A36" w14:textId="77777777" w:rsidR="00F733A0" w:rsidRPr="00F053B6" w:rsidRDefault="00F733A0" w:rsidP="001010C9">
      <w:pPr>
        <w:numPr>
          <w:ilvl w:val="0"/>
          <w:numId w:val="4"/>
        </w:numPr>
        <w:spacing w:after="120"/>
        <w:jc w:val="left"/>
        <w:rPr>
          <w:rFonts w:ascii="Gotham" w:hAnsi="Gotham"/>
          <w:color w:val="1B365D"/>
        </w:rPr>
      </w:pPr>
      <w:r w:rsidRPr="00F053B6">
        <w:rPr>
          <w:rFonts w:ascii="Gotham" w:hAnsi="Gotham"/>
          <w:color w:val="1B365D"/>
        </w:rPr>
        <w:t xml:space="preserve">If the person making the Disclosure commits an offence by making it, or </w:t>
      </w:r>
    </w:p>
    <w:p w14:paraId="2F4928B5" w14:textId="77777777" w:rsidR="00F733A0" w:rsidRPr="00F053B6" w:rsidRDefault="00F733A0" w:rsidP="001010C9">
      <w:pPr>
        <w:numPr>
          <w:ilvl w:val="0"/>
          <w:numId w:val="4"/>
        </w:numPr>
        <w:spacing w:after="120"/>
        <w:jc w:val="left"/>
        <w:rPr>
          <w:rFonts w:ascii="Gotham" w:hAnsi="Gotham"/>
          <w:color w:val="1B365D"/>
        </w:rPr>
      </w:pPr>
      <w:r w:rsidRPr="00F053B6">
        <w:rPr>
          <w:rFonts w:ascii="Gotham" w:hAnsi="Gotham"/>
          <w:color w:val="1B365D"/>
        </w:rPr>
        <w:t>It is a matter in which a legal, professional privilege would apply, namely, correspondence between the employer and their lawyers regarding a specific case.</w:t>
      </w:r>
    </w:p>
    <w:p w14:paraId="24AB7F59" w14:textId="77777777" w:rsidR="00F733A0" w:rsidRPr="00F053B6" w:rsidRDefault="00F733A0" w:rsidP="001010C9">
      <w:pPr>
        <w:jc w:val="left"/>
        <w:rPr>
          <w:rFonts w:ascii="Gotham" w:hAnsi="Gotham"/>
          <w:color w:val="1B365D"/>
        </w:rPr>
      </w:pPr>
    </w:p>
    <w:p w14:paraId="624139C5" w14:textId="26A85DAA" w:rsidR="00F733A0" w:rsidRPr="00F053B6" w:rsidRDefault="00F733A0" w:rsidP="001010C9">
      <w:pPr>
        <w:jc w:val="left"/>
        <w:rPr>
          <w:rFonts w:ascii="Gotham" w:hAnsi="Gotham"/>
          <w:color w:val="1B365D"/>
        </w:rPr>
      </w:pPr>
      <w:r w:rsidRPr="00F053B6">
        <w:rPr>
          <w:rFonts w:ascii="Gotham" w:hAnsi="Gotham"/>
          <w:color w:val="1B365D"/>
        </w:rPr>
        <w:t xml:space="preserve">The Supply Register Ltd will not </w:t>
      </w:r>
      <w:proofErr w:type="gramStart"/>
      <w:r w:rsidRPr="00F053B6">
        <w:rPr>
          <w:rFonts w:ascii="Gotham" w:hAnsi="Gotham"/>
          <w:color w:val="1B365D"/>
        </w:rPr>
        <w:t>take action</w:t>
      </w:r>
      <w:proofErr w:type="gramEnd"/>
      <w:r w:rsidRPr="00F053B6">
        <w:rPr>
          <w:rFonts w:ascii="Gotham" w:hAnsi="Gotham"/>
          <w:color w:val="1B365D"/>
        </w:rPr>
        <w:t xml:space="preserve"> against anyone who raises a complaint under these policies in good faith because they did so, however, employees who make false allegations maliciously may be subject to the appropriate disciplinary action. This Whistle Blowing Policy does not cover private grievances, including complaints about individual employment matters. A ‘whistleblower’ is a witness, not a complainant.</w:t>
      </w:r>
    </w:p>
    <w:p w14:paraId="7B521C7F" w14:textId="77777777" w:rsidR="00F733A0" w:rsidRPr="00F053B6" w:rsidRDefault="00F733A0" w:rsidP="001010C9">
      <w:pPr>
        <w:jc w:val="left"/>
        <w:rPr>
          <w:rFonts w:ascii="Gotham" w:hAnsi="Gotham"/>
          <w:color w:val="1B365D"/>
        </w:rPr>
      </w:pPr>
    </w:p>
    <w:p w14:paraId="6953A0A7" w14:textId="77777777" w:rsidR="00C14245" w:rsidRPr="00F053B6" w:rsidRDefault="00C14245" w:rsidP="001010C9">
      <w:pPr>
        <w:jc w:val="left"/>
        <w:rPr>
          <w:rFonts w:ascii="Gotham" w:hAnsi="Gotham"/>
          <w:color w:val="1B365D"/>
        </w:rPr>
      </w:pPr>
    </w:p>
    <w:sectPr w:rsidR="00C14245" w:rsidRPr="00F053B6" w:rsidSect="00E6412F">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B3F9F" w14:textId="77777777" w:rsidR="00E6412F" w:rsidRDefault="00E6412F" w:rsidP="00E6412F">
      <w:r>
        <w:separator/>
      </w:r>
    </w:p>
  </w:endnote>
  <w:endnote w:type="continuationSeparator" w:id="0">
    <w:p w14:paraId="4851B634" w14:textId="77777777" w:rsidR="00E6412F" w:rsidRDefault="00E6412F" w:rsidP="00E6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Gotham">
    <w:panose1 w:val="02000504050000020004"/>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612E4" w14:textId="24C617A6" w:rsidR="005E3F10" w:rsidRDefault="005E3F10">
    <w:pPr>
      <w:pStyle w:val="Footer"/>
    </w:pPr>
    <w:r>
      <w:t>Whistleblowing Policy version: revised 19/10/2021</w:t>
    </w:r>
  </w:p>
  <w:p w14:paraId="21FFCAF3" w14:textId="77777777" w:rsidR="005E3F10" w:rsidRDefault="005E3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1E377" w14:textId="77777777" w:rsidR="00E6412F" w:rsidRDefault="00E6412F" w:rsidP="00E6412F">
      <w:r>
        <w:separator/>
      </w:r>
    </w:p>
  </w:footnote>
  <w:footnote w:type="continuationSeparator" w:id="0">
    <w:p w14:paraId="4F4B4883" w14:textId="77777777" w:rsidR="00E6412F" w:rsidRDefault="00E6412F" w:rsidP="00E64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D306C" w14:textId="66BA59AD" w:rsidR="00E6412F" w:rsidRDefault="00E6412F">
    <w:pPr>
      <w:pStyle w:val="Header"/>
    </w:pPr>
    <w:r>
      <w:rPr>
        <w:noProof/>
      </w:rPr>
      <w:drawing>
        <wp:anchor distT="0" distB="0" distL="114300" distR="114300" simplePos="0" relativeHeight="251658752" behindDoc="1" locked="0" layoutInCell="1" allowOverlap="1" wp14:anchorId="25783644" wp14:editId="4E0687AA">
          <wp:simplePos x="0" y="0"/>
          <wp:positionH relativeFrom="margin">
            <wp:posOffset>4743450</wp:posOffset>
          </wp:positionH>
          <wp:positionV relativeFrom="page">
            <wp:posOffset>458470</wp:posOffset>
          </wp:positionV>
          <wp:extent cx="1454785" cy="17761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54785" cy="177617"/>
                  </a:xfrm>
                  <a:prstGeom prst="rect">
                    <a:avLst/>
                  </a:prstGeom>
                </pic:spPr>
              </pic:pic>
            </a:graphicData>
          </a:graphic>
          <wp14:sizeRelH relativeFrom="margin">
            <wp14:pctWidth>0</wp14:pctWidth>
          </wp14:sizeRelH>
          <wp14:sizeRelV relativeFrom="margin">
            <wp14:pctHeight>0</wp14:pctHeight>
          </wp14:sizeRelV>
        </wp:anchor>
      </w:drawing>
    </w:r>
  </w:p>
  <w:p w14:paraId="0BC375D3" w14:textId="77777777" w:rsidR="00E6412F" w:rsidRDefault="00E64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999"/>
    <w:multiLevelType w:val="hybridMultilevel"/>
    <w:tmpl w:val="E45E6E78"/>
    <w:lvl w:ilvl="0" w:tplc="211EFEEA">
      <w:start w:val="1"/>
      <w:numFmt w:val="bullet"/>
      <w:lvlText w:val=""/>
      <w:lvlJc w:val="left"/>
      <w:pPr>
        <w:ind w:left="720" w:hanging="360"/>
      </w:pPr>
      <w:rPr>
        <w:rFonts w:ascii="Symbol" w:hAnsi="Symbol" w:hint="default"/>
        <w:color w:val="1B365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64172F"/>
    <w:multiLevelType w:val="hybridMultilevel"/>
    <w:tmpl w:val="1E84F0A8"/>
    <w:lvl w:ilvl="0" w:tplc="A9300BD2">
      <w:start w:val="1"/>
      <w:numFmt w:val="bullet"/>
      <w:lvlText w:val=""/>
      <w:lvlJc w:val="left"/>
      <w:pPr>
        <w:ind w:left="720" w:hanging="360"/>
      </w:pPr>
      <w:rPr>
        <w:rFonts w:ascii="Symbol" w:hAnsi="Symbol" w:hint="default"/>
        <w:color w:val="ED781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473F7D"/>
    <w:multiLevelType w:val="multilevel"/>
    <w:tmpl w:val="DB54CEB0"/>
    <w:lvl w:ilvl="0">
      <w:start w:val="1"/>
      <w:numFmt w:val="decimal"/>
      <w:pStyle w:val="Heading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DC35A2"/>
    <w:multiLevelType w:val="hybridMultilevel"/>
    <w:tmpl w:val="7B6A1E9A"/>
    <w:lvl w:ilvl="0" w:tplc="211EFEEA">
      <w:start w:val="1"/>
      <w:numFmt w:val="bullet"/>
      <w:lvlText w:val=""/>
      <w:lvlJc w:val="left"/>
      <w:pPr>
        <w:ind w:left="720" w:hanging="360"/>
      </w:pPr>
      <w:rPr>
        <w:rFonts w:ascii="Symbol" w:hAnsi="Symbol" w:hint="default"/>
        <w:color w:val="1B365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7F8133B"/>
    <w:multiLevelType w:val="hybridMultilevel"/>
    <w:tmpl w:val="D9FEA4F0"/>
    <w:lvl w:ilvl="0" w:tplc="211EFEEA">
      <w:start w:val="1"/>
      <w:numFmt w:val="bullet"/>
      <w:lvlText w:val=""/>
      <w:lvlJc w:val="left"/>
      <w:pPr>
        <w:ind w:left="720" w:hanging="360"/>
      </w:pPr>
      <w:rPr>
        <w:rFonts w:ascii="Symbol" w:hAnsi="Symbol" w:hint="default"/>
        <w:color w:val="1B365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A0"/>
    <w:rsid w:val="00000E13"/>
    <w:rsid w:val="0007345D"/>
    <w:rsid w:val="001010C9"/>
    <w:rsid w:val="002F6DCE"/>
    <w:rsid w:val="005E3F10"/>
    <w:rsid w:val="00944369"/>
    <w:rsid w:val="00C14245"/>
    <w:rsid w:val="00D82A0F"/>
    <w:rsid w:val="00E6412F"/>
    <w:rsid w:val="00E83BAF"/>
    <w:rsid w:val="00E87924"/>
    <w:rsid w:val="00F053B6"/>
    <w:rsid w:val="00F73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920565"/>
  <w15:chartTrackingRefBased/>
  <w15:docId w15:val="{D2714DC0-C532-45DF-B026-86E2C110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3A0"/>
    <w:pPr>
      <w:spacing w:after="0" w:line="240" w:lineRule="auto"/>
      <w:jc w:val="both"/>
    </w:pPr>
    <w:rPr>
      <w:rFonts w:ascii="Tahoma" w:eastAsia="Times New Roman" w:hAnsi="Tahoma" w:cs="Tahoma"/>
      <w:sz w:val="20"/>
      <w:szCs w:val="20"/>
      <w:lang w:val="en" w:eastAsia="en-GB"/>
    </w:rPr>
  </w:style>
  <w:style w:type="paragraph" w:styleId="Heading2">
    <w:name w:val="heading 2"/>
    <w:basedOn w:val="Normal"/>
    <w:next w:val="Normal"/>
    <w:link w:val="Heading2Char"/>
    <w:uiPriority w:val="9"/>
    <w:semiHidden/>
    <w:unhideWhenUsed/>
    <w:qFormat/>
    <w:rsid w:val="00F733A0"/>
    <w:pPr>
      <w:outlineLvl w:val="1"/>
    </w:pPr>
    <w:rPr>
      <w:rFonts w:ascii="Arial Rounded MT Bold" w:hAnsi="Arial Rounded MT Bold"/>
      <w:b/>
      <w:color w:val="ED7811"/>
      <w:sz w:val="28"/>
      <w:szCs w:val="28"/>
    </w:rPr>
  </w:style>
  <w:style w:type="paragraph" w:styleId="Heading3">
    <w:name w:val="heading 3"/>
    <w:basedOn w:val="Normal"/>
    <w:next w:val="Normal"/>
    <w:link w:val="Heading3Char"/>
    <w:semiHidden/>
    <w:unhideWhenUsed/>
    <w:qFormat/>
    <w:rsid w:val="00F733A0"/>
    <w:pPr>
      <w:numPr>
        <w:numId w:val="1"/>
      </w:numPr>
      <w:spacing w:after="120"/>
      <w:outlineLvl w:val="2"/>
    </w:pPr>
    <w:rPr>
      <w:b/>
      <w:color w:val="133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733A0"/>
    <w:rPr>
      <w:rFonts w:ascii="Arial Rounded MT Bold" w:eastAsia="Times New Roman" w:hAnsi="Arial Rounded MT Bold" w:cs="Tahoma"/>
      <w:b/>
      <w:color w:val="ED7811"/>
      <w:sz w:val="28"/>
      <w:szCs w:val="28"/>
      <w:lang w:val="en" w:eastAsia="en-GB"/>
    </w:rPr>
  </w:style>
  <w:style w:type="character" w:customStyle="1" w:styleId="Heading3Char">
    <w:name w:val="Heading 3 Char"/>
    <w:basedOn w:val="DefaultParagraphFont"/>
    <w:link w:val="Heading3"/>
    <w:semiHidden/>
    <w:rsid w:val="00F733A0"/>
    <w:rPr>
      <w:rFonts w:ascii="Tahoma" w:eastAsia="Times New Roman" w:hAnsi="Tahoma" w:cs="Tahoma"/>
      <w:b/>
      <w:color w:val="133080"/>
      <w:sz w:val="20"/>
      <w:szCs w:val="20"/>
      <w:lang w:val="en" w:eastAsia="en-GB"/>
    </w:rPr>
  </w:style>
  <w:style w:type="paragraph" w:styleId="BodyText">
    <w:name w:val="Body Text"/>
    <w:basedOn w:val="Normal"/>
    <w:link w:val="BodyTextChar"/>
    <w:semiHidden/>
    <w:unhideWhenUsed/>
    <w:rsid w:val="00F733A0"/>
    <w:rPr>
      <w:lang w:val="en-US" w:eastAsia="en-US"/>
    </w:rPr>
  </w:style>
  <w:style w:type="character" w:customStyle="1" w:styleId="BodyTextChar">
    <w:name w:val="Body Text Char"/>
    <w:basedOn w:val="DefaultParagraphFont"/>
    <w:link w:val="BodyText"/>
    <w:semiHidden/>
    <w:rsid w:val="00F733A0"/>
    <w:rPr>
      <w:rFonts w:ascii="Tahoma" w:eastAsia="Times New Roman" w:hAnsi="Tahoma" w:cs="Tahoma"/>
      <w:sz w:val="20"/>
      <w:szCs w:val="20"/>
      <w:lang w:val="en-US"/>
    </w:rPr>
  </w:style>
  <w:style w:type="paragraph" w:styleId="Header">
    <w:name w:val="header"/>
    <w:basedOn w:val="Normal"/>
    <w:link w:val="HeaderChar"/>
    <w:uiPriority w:val="99"/>
    <w:unhideWhenUsed/>
    <w:rsid w:val="00E6412F"/>
    <w:pPr>
      <w:tabs>
        <w:tab w:val="center" w:pos="4513"/>
        <w:tab w:val="right" w:pos="9026"/>
      </w:tabs>
    </w:pPr>
  </w:style>
  <w:style w:type="character" w:customStyle="1" w:styleId="HeaderChar">
    <w:name w:val="Header Char"/>
    <w:basedOn w:val="DefaultParagraphFont"/>
    <w:link w:val="Header"/>
    <w:uiPriority w:val="99"/>
    <w:rsid w:val="00E6412F"/>
    <w:rPr>
      <w:rFonts w:ascii="Tahoma" w:eastAsia="Times New Roman" w:hAnsi="Tahoma" w:cs="Tahoma"/>
      <w:sz w:val="20"/>
      <w:szCs w:val="20"/>
      <w:lang w:val="en" w:eastAsia="en-GB"/>
    </w:rPr>
  </w:style>
  <w:style w:type="paragraph" w:styleId="Footer">
    <w:name w:val="footer"/>
    <w:basedOn w:val="Normal"/>
    <w:link w:val="FooterChar"/>
    <w:uiPriority w:val="99"/>
    <w:unhideWhenUsed/>
    <w:rsid w:val="00E6412F"/>
    <w:pPr>
      <w:tabs>
        <w:tab w:val="center" w:pos="4513"/>
        <w:tab w:val="right" w:pos="9026"/>
      </w:tabs>
    </w:pPr>
  </w:style>
  <w:style w:type="character" w:customStyle="1" w:styleId="FooterChar">
    <w:name w:val="Footer Char"/>
    <w:basedOn w:val="DefaultParagraphFont"/>
    <w:link w:val="Footer"/>
    <w:uiPriority w:val="99"/>
    <w:rsid w:val="00E6412F"/>
    <w:rPr>
      <w:rFonts w:ascii="Tahoma" w:eastAsia="Times New Roman" w:hAnsi="Tahoma" w:cs="Tahoma"/>
      <w:sz w:val="20"/>
      <w:szCs w:val="2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3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FA9E56E34DD2498BAD0E21EED63E06" ma:contentTypeVersion="11" ma:contentTypeDescription="Create a new document." ma:contentTypeScope="" ma:versionID="e328fc97d09d52014cba663c8eabbed4">
  <xsd:schema xmlns:xsd="http://www.w3.org/2001/XMLSchema" xmlns:xs="http://www.w3.org/2001/XMLSchema" xmlns:p="http://schemas.microsoft.com/office/2006/metadata/properties" xmlns:ns2="592198df-155e-4c8b-9c40-c3dca1445452" xmlns:ns3="d2e813a6-9b62-4e5f-be9d-676059133700" targetNamespace="http://schemas.microsoft.com/office/2006/metadata/properties" ma:root="true" ma:fieldsID="2d0fa32e484dbc5fd57554abf7f31bf3" ns2:_="" ns3:_="">
    <xsd:import namespace="592198df-155e-4c8b-9c40-c3dca1445452"/>
    <xsd:import namespace="d2e813a6-9b62-4e5f-be9d-6760591337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198df-155e-4c8b-9c40-c3dca1445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e813a6-9b62-4e5f-be9d-6760591337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82F549-6982-46E7-8CF5-978DCEF462C0}"/>
</file>

<file path=customXml/itemProps2.xml><?xml version="1.0" encoding="utf-8"?>
<ds:datastoreItem xmlns:ds="http://schemas.openxmlformats.org/officeDocument/2006/customXml" ds:itemID="{837AAB10-2C36-4BB9-84D5-3F3115FD203F}"/>
</file>

<file path=customXml/itemProps3.xml><?xml version="1.0" encoding="utf-8"?>
<ds:datastoreItem xmlns:ds="http://schemas.openxmlformats.org/officeDocument/2006/customXml" ds:itemID="{9878706C-A422-49D7-AFB0-648FC4C7AC21}"/>
</file>

<file path=docProps/app.xml><?xml version="1.0" encoding="utf-8"?>
<Properties xmlns="http://schemas.openxmlformats.org/officeDocument/2006/extended-properties" xmlns:vt="http://schemas.openxmlformats.org/officeDocument/2006/docPropsVTypes">
  <Template>Normal</Template>
  <TotalTime>102</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Davies</dc:creator>
  <cp:keywords/>
  <dc:description/>
  <cp:lastModifiedBy>Connor Bayliss</cp:lastModifiedBy>
  <cp:revision>7</cp:revision>
  <dcterms:created xsi:type="dcterms:W3CDTF">2021-10-26T11:43:00Z</dcterms:created>
  <dcterms:modified xsi:type="dcterms:W3CDTF">2021-10-27T14:10:00Z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0x010100C4FA9E56E34DD2498BAD0E21EED63E06</vt:lpwstr>
  </property>
</Properties>
</file>